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إداري                     كلية الحقوق والعلوم السياسية                </w:t>
      </w:r>
      <w:proofErr w:type="spellStart"/>
      <w:r>
        <w:rPr>
          <w:rFonts w:hint="cs"/>
          <w:sz w:val="28"/>
          <w:szCs w:val="28"/>
          <w:rtl/>
          <w:lang w:bidi="ar-DZ"/>
        </w:rPr>
        <w:t>البوني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25/01/2025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سداسي 3                    الإجابة النموذجية في مقياس الأملاك الوطنية</w:t>
      </w:r>
    </w:p>
    <w:p w:rsidR="003A11D2" w:rsidRDefault="003A11D2" w:rsidP="003A11D2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81027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الجواب الأول: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معايير التمييز بين الأملاك الوطنية الخاصة والأملاك الوطنية العامة التنقيط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على .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....4</w:t>
      </w:r>
    </w:p>
    <w:p w:rsidR="003A11D2" w:rsidRPr="00271ABD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 w:rsidRPr="00271ABD">
        <w:rPr>
          <w:rFonts w:hint="cs"/>
          <w:sz w:val="28"/>
          <w:szCs w:val="28"/>
          <w:rtl/>
          <w:lang w:bidi="ar-DZ"/>
        </w:rPr>
        <w:t>- معيار التخصيص للمنفعة العامة.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 w:rsidRPr="00271ABD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>معيار القابلية للتملك والتصرف.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proofErr w:type="gramStart"/>
      <w:r w:rsidRPr="00E93E02">
        <w:rPr>
          <w:rFonts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E93E0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 طرق تكوين الأملاك الوطنية الخاصة....... التنقيط على 6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طرق القانون الخاص: </w:t>
      </w:r>
      <w:proofErr w:type="gramStart"/>
      <w:r>
        <w:rPr>
          <w:rFonts w:hint="cs"/>
          <w:sz w:val="28"/>
          <w:szCs w:val="28"/>
          <w:rtl/>
          <w:lang w:bidi="ar-DZ"/>
        </w:rPr>
        <w:t>الشراء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التبادل الحيازة والتبرعات.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طرق القانون العام: نزع الملكية للمنعة العامة، </w:t>
      </w:r>
      <w:proofErr w:type="gramStart"/>
      <w:r>
        <w:rPr>
          <w:rFonts w:hint="cs"/>
          <w:sz w:val="28"/>
          <w:szCs w:val="28"/>
          <w:rtl/>
          <w:lang w:bidi="ar-DZ"/>
        </w:rPr>
        <w:t>الشفعة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. </w:t>
      </w:r>
    </w:p>
    <w:p w:rsidR="003A11D2" w:rsidRPr="00E93E0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الحطام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والكنوز والأملاك الشاغرة.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 w:rsidRPr="00EC2B2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الجواب الثالث: طبيعة قرارات إدراج الأملاك الوطنية </w:t>
      </w:r>
      <w:proofErr w:type="gramStart"/>
      <w:r w:rsidRPr="00EC2B27">
        <w:rPr>
          <w:rFonts w:hint="cs"/>
          <w:b/>
          <w:bCs/>
          <w:sz w:val="28"/>
          <w:szCs w:val="28"/>
          <w:u w:val="single"/>
          <w:rtl/>
          <w:lang w:bidi="ar-DZ"/>
        </w:rPr>
        <w:t>العامة .</w:t>
      </w:r>
      <w:proofErr w:type="gramEnd"/>
      <w:r w:rsidRPr="00EC2B27">
        <w:rPr>
          <w:rFonts w:hint="cs"/>
          <w:b/>
          <w:bCs/>
          <w:sz w:val="28"/>
          <w:szCs w:val="28"/>
          <w:u w:val="single"/>
          <w:rtl/>
          <w:lang w:bidi="ar-DZ"/>
        </w:rPr>
        <w:t>........</w:t>
      </w:r>
      <w:proofErr w:type="gramStart"/>
      <w:r w:rsidRPr="00EC2B27">
        <w:rPr>
          <w:rFonts w:hint="cs"/>
          <w:b/>
          <w:bCs/>
          <w:sz w:val="28"/>
          <w:szCs w:val="28"/>
          <w:u w:val="single"/>
          <w:rtl/>
          <w:lang w:bidi="ar-DZ"/>
        </w:rPr>
        <w:t>تنقيط</w:t>
      </w:r>
      <w:proofErr w:type="gramEnd"/>
      <w:r w:rsidRPr="00EC2B2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على 4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-قرار إدراج الملك الوطني العام الطبيعي له طابع كاشف (تصريحي).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-قرار إدراج الملك الوطني العام الاصطناعي له طابع منشئ.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r w:rsidRPr="00E5566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الجواب الرابع: تعريف قاعدة عدم جواز التصرف </w:t>
      </w:r>
      <w:proofErr w:type="spellStart"/>
      <w:r w:rsidRPr="00E55667">
        <w:rPr>
          <w:rFonts w:hint="cs"/>
          <w:b/>
          <w:bCs/>
          <w:sz w:val="28"/>
          <w:szCs w:val="28"/>
          <w:u w:val="single"/>
          <w:rtl/>
          <w:lang w:bidi="ar-DZ"/>
        </w:rPr>
        <w:t>والإستثناءات</w:t>
      </w:r>
      <w:proofErr w:type="spellEnd"/>
      <w:r w:rsidRPr="00E5566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الواردة عليها.......... </w:t>
      </w:r>
      <w:proofErr w:type="gramStart"/>
      <w:r w:rsidRPr="00E55667">
        <w:rPr>
          <w:rFonts w:hint="cs"/>
          <w:b/>
          <w:bCs/>
          <w:sz w:val="28"/>
          <w:szCs w:val="28"/>
          <w:u w:val="single"/>
          <w:rtl/>
          <w:lang w:bidi="ar-DZ"/>
        </w:rPr>
        <w:t>تنقيط</w:t>
      </w:r>
      <w:proofErr w:type="gramEnd"/>
      <w:r w:rsidRPr="00E5566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على 6</w:t>
      </w:r>
    </w:p>
    <w:p w:rsidR="003A11D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عدم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جواز التصرف في المال العام يقصد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عدم جواز القيام بالتصرفات الناقلة للملكية على الأملاك الوطنية العامة نظرا لتخصيصها للمنعة العامة وهي قاعدة من قواعد حماية المال العام ومعيارا مميزا بين الملك الوطني العام والملك الوطني الخاص.</w:t>
      </w:r>
    </w:p>
    <w:p w:rsidR="003A11D2" w:rsidRPr="00B16922" w:rsidRDefault="003A11D2" w:rsidP="003A11D2">
      <w:pPr>
        <w:bidi/>
        <w:jc w:val="both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الإستثناءات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الواردة هي: حقوق </w:t>
      </w:r>
      <w:proofErr w:type="spellStart"/>
      <w:r>
        <w:rPr>
          <w:rFonts w:hint="cs"/>
          <w:sz w:val="28"/>
          <w:szCs w:val="28"/>
          <w:rtl/>
          <w:lang w:bidi="ar-DZ"/>
        </w:rPr>
        <w:t>الإرتقاق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منح رخص الشغل المؤقت لموجب  قرارات إدارية أو عقود إدارية ومن أمقلة الرخص رخص الطريق ورخص </w:t>
      </w:r>
      <w:proofErr w:type="spellStart"/>
      <w:r>
        <w:rPr>
          <w:rFonts w:hint="cs"/>
          <w:sz w:val="28"/>
          <w:szCs w:val="28"/>
          <w:rtl/>
          <w:lang w:bidi="ar-DZ"/>
        </w:rPr>
        <w:t>الوقوق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686C32" w:rsidRDefault="00686C32" w:rsidP="003A11D2">
      <w:pPr>
        <w:bidi/>
        <w:rPr>
          <w:lang w:bidi="ar-DZ"/>
        </w:rPr>
      </w:pPr>
    </w:p>
    <w:sectPr w:rsidR="00686C32" w:rsidSect="0049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3A11D2"/>
    <w:rsid w:val="003A11D2"/>
    <w:rsid w:val="0068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</dc:creator>
  <cp:lastModifiedBy>halim</cp:lastModifiedBy>
  <cp:revision>1</cp:revision>
  <dcterms:created xsi:type="dcterms:W3CDTF">2025-02-01T18:10:00Z</dcterms:created>
  <dcterms:modified xsi:type="dcterms:W3CDTF">2025-02-01T18:12:00Z</dcterms:modified>
</cp:coreProperties>
</file>